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939ED" w14:textId="77777777" w:rsidR="00A914B1" w:rsidRDefault="00985BD6">
      <w:pPr>
        <w:pStyle w:val="Normal1"/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6070AB0C" wp14:editId="5D5EE4D1">
            <wp:simplePos x="0" y="0"/>
            <wp:positionH relativeFrom="column">
              <wp:posOffset>-438150</wp:posOffset>
            </wp:positionH>
            <wp:positionV relativeFrom="line">
              <wp:posOffset>-479425</wp:posOffset>
            </wp:positionV>
            <wp:extent cx="660400" cy="4572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Monster:Users:skous:Desktop:logo_ce-en-MAI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onster:Users:skous:Desktop:logo_ce-en-MAIN.jpg" descr="Monster:Users:skous:Desktop:logo_ce-en-MAIN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rFonts w:ascii="Calibri" w:eastAsia="Calibri" w:hAnsi="Calibri" w:cs="Calibri"/>
          <w:b/>
          <w:bCs/>
          <w:noProof/>
          <w:sz w:val="32"/>
          <w:szCs w:val="32"/>
          <w:u w:val="single"/>
        </w:rPr>
        <w:drawing>
          <wp:inline distT="0" distB="0" distL="0" distR="0" wp14:anchorId="1C7D10A0" wp14:editId="04F396C8">
            <wp:extent cx="4077050" cy="1973617"/>
            <wp:effectExtent l="0" t="0" r="0" b="0"/>
            <wp:docPr id="1073741826" name="officeArt object" descr="4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4 Imagen" descr="4 Imagen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b="9578"/>
                    <a:stretch>
                      <a:fillRect/>
                    </a:stretch>
                  </pic:blipFill>
                  <pic:spPr>
                    <a:xfrm>
                      <a:off x="0" y="0"/>
                      <a:ext cx="4077050" cy="19736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9E01688" w14:textId="77777777" w:rsidR="00A914B1" w:rsidRDefault="00A914B1">
      <w:pPr>
        <w:pStyle w:val="Normal1"/>
        <w:jc w:val="center"/>
        <w:rPr>
          <w:b/>
          <w:bCs/>
          <w:sz w:val="40"/>
          <w:szCs w:val="40"/>
          <w:u w:val="single"/>
        </w:rPr>
      </w:pPr>
    </w:p>
    <w:p w14:paraId="04CD4CA8" w14:textId="77777777" w:rsidR="00A914B1" w:rsidRDefault="00985BD6">
      <w:pPr>
        <w:pStyle w:val="Body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Evento finale di Big Policy Canvas alla</w:t>
      </w:r>
      <w:r>
        <w:rPr>
          <w:b/>
          <w:bCs/>
          <w:sz w:val="40"/>
          <w:szCs w:val="40"/>
          <w:u w:val="single"/>
          <w:lang w:val="es-ES_tradnl"/>
        </w:rPr>
        <w:t xml:space="preserve"> </w:t>
      </w:r>
      <w:r>
        <w:rPr>
          <w:b/>
          <w:bCs/>
          <w:sz w:val="40"/>
          <w:szCs w:val="40"/>
          <w:u w:val="single"/>
        </w:rPr>
        <w:t>Conferenza “Major Cities of Europe”</w:t>
      </w:r>
    </w:p>
    <w:p w14:paraId="53027610" w14:textId="77777777" w:rsidR="00A914B1" w:rsidRDefault="00985BD6">
      <w:pPr>
        <w:pStyle w:val="Normal1"/>
        <w:jc w:val="both"/>
      </w:pPr>
      <w:r>
        <w:rPr>
          <w:shd w:val="clear" w:color="auto" w:fill="FFFF00"/>
        </w:rPr>
        <w:t>Dat</w:t>
      </w:r>
      <w:r>
        <w:rPr>
          <w:shd w:val="clear" w:color="auto" w:fill="FFFF00"/>
          <w:lang w:val="es-ES_tradnl"/>
        </w:rPr>
        <w:t>a</w:t>
      </w:r>
    </w:p>
    <w:p w14:paraId="20782406" w14:textId="77777777" w:rsidR="00A914B1" w:rsidRDefault="00A914B1">
      <w:pPr>
        <w:pStyle w:val="Normal1"/>
        <w:jc w:val="both"/>
        <w:rPr>
          <w:sz w:val="20"/>
          <w:szCs w:val="20"/>
        </w:rPr>
      </w:pPr>
    </w:p>
    <w:p w14:paraId="3C0AB659" w14:textId="77777777" w:rsidR="00A914B1" w:rsidRDefault="00985BD6">
      <w:pPr>
        <w:pStyle w:val="Normal1"/>
        <w:spacing w:after="60" w:line="262" w:lineRule="auto"/>
        <w:jc w:val="both"/>
        <w:rPr>
          <w:rFonts w:ascii="Calibri" w:eastAsia="Calibri" w:hAnsi="Calibri" w:cs="Calibri"/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BPC: la costruzione di un settore pubblico più efficace, efficiente, preciso e basato sui big data </w:t>
      </w:r>
    </w:p>
    <w:p w14:paraId="020248B5" w14:textId="77777777" w:rsidR="00A914B1" w:rsidRDefault="00A914B1">
      <w:pPr>
        <w:pStyle w:val="Normal1"/>
        <w:spacing w:after="60" w:line="262" w:lineRule="auto"/>
        <w:jc w:val="both"/>
        <w:rPr>
          <w:rFonts w:ascii="Calibri" w:eastAsia="Calibri" w:hAnsi="Calibri" w:cs="Calibri"/>
        </w:rPr>
      </w:pPr>
    </w:p>
    <w:p w14:paraId="2CABE919" w14:textId="77777777" w:rsidR="00A914B1" w:rsidRDefault="00985BD6">
      <w:pPr>
        <w:pStyle w:val="Normal1"/>
        <w:spacing w:after="60" w:line="262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Oggigiorno le attuali condizioni soc</w:t>
      </w:r>
      <w:bookmarkStart w:id="0" w:name="_GoBack"/>
      <w:bookmarkEnd w:id="0"/>
      <w:r>
        <w:rPr>
          <w:rFonts w:ascii="Calibri" w:eastAsia="Calibri" w:hAnsi="Calibri" w:cs="Calibri"/>
        </w:rPr>
        <w:t xml:space="preserve">io-economiche richiedono un </w:t>
      </w:r>
      <w:r>
        <w:rPr>
          <w:rFonts w:ascii="Calibri" w:eastAsia="Calibri" w:hAnsi="Calibri" w:cs="Calibri"/>
        </w:rPr>
        <w:t>cambiamento radicale verso una nuova mentalità fatta di utilizzo efficiente, co-creazione ed efficacia in termini di costi dei servizi pubblici.</w:t>
      </w:r>
      <w:r>
        <w:rPr>
          <w:rFonts w:ascii="Calibri" w:eastAsia="Calibri" w:hAnsi="Calibri" w:cs="Calibri"/>
          <w:lang w:val="es-ES_tradnl"/>
        </w:rPr>
        <w:t xml:space="preserve"> </w:t>
      </w:r>
      <w:r>
        <w:rPr>
          <w:rFonts w:ascii="Calibri" w:eastAsia="Calibri" w:hAnsi="Calibri" w:cs="Calibri"/>
        </w:rPr>
        <w:t>Tali nuovi concetti, i quali considerano la disponibilità di big data e forniscono al settore pubblico input pr</w:t>
      </w:r>
      <w:r>
        <w:rPr>
          <w:rFonts w:ascii="Calibri" w:eastAsia="Calibri" w:hAnsi="Calibri" w:cs="Calibri"/>
        </w:rPr>
        <w:t>ecisi e significativi, rivestono un ruolo  fondamentale in quanto supportano e sono alla base di nuovi tipi di politiche basate sull’evidenza. Tuttavia, sebbene tali esigenze siano in generale riconosciute da tutte le parti interessate, vi sono numerose qu</w:t>
      </w:r>
      <w:r>
        <w:rPr>
          <w:rFonts w:ascii="Calibri" w:eastAsia="Calibri" w:hAnsi="Calibri" w:cs="Calibri"/>
        </w:rPr>
        <w:t>estioni che devono essere affrontate per razionalizzare il processo di ristrutturazione e innovazione del settore pubblico:</w:t>
      </w:r>
    </w:p>
    <w:p w14:paraId="5A1A3767" w14:textId="77777777" w:rsidR="00A914B1" w:rsidRDefault="00985BD6">
      <w:pPr>
        <w:pStyle w:val="Normal1"/>
        <w:numPr>
          <w:ilvl w:val="0"/>
          <w:numId w:val="2"/>
        </w:numPr>
        <w:spacing w:after="60" w:line="262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Come identificare, monitorare, rilevare tempestivamente e valutare le esigenze delle pubbliche amministrazioni?</w:t>
      </w:r>
    </w:p>
    <w:p w14:paraId="3ACC5AA9" w14:textId="77777777" w:rsidR="00A914B1" w:rsidRDefault="00985BD6">
      <w:pPr>
        <w:pStyle w:val="Normal1"/>
        <w:numPr>
          <w:ilvl w:val="0"/>
          <w:numId w:val="2"/>
        </w:numPr>
        <w:spacing w:after="60" w:line="262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Come venire tempestivamente a conoscenza di metodologie innovative, strumenti, tecnologie e applicazioni in grado di rispondere a queste esigenze? </w:t>
      </w:r>
    </w:p>
    <w:p w14:paraId="4CBEE2FB" w14:textId="77777777" w:rsidR="00A914B1" w:rsidRDefault="00985BD6">
      <w:pPr>
        <w:pStyle w:val="Normal1"/>
        <w:numPr>
          <w:ilvl w:val="0"/>
          <w:numId w:val="2"/>
        </w:numPr>
        <w:spacing w:after="60" w:line="262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Come identificare efficacemente i fattori </w:t>
      </w:r>
      <w:r>
        <w:rPr>
          <w:rFonts w:ascii="Calibri" w:eastAsia="Calibri" w:hAnsi="Calibri" w:cs="Calibri"/>
          <w:lang w:val="es-ES_tradnl"/>
        </w:rPr>
        <w:t>esterni</w:t>
      </w:r>
      <w:r>
        <w:rPr>
          <w:rFonts w:ascii="Calibri" w:eastAsia="Calibri" w:hAnsi="Calibri" w:cs="Calibri"/>
        </w:rPr>
        <w:t xml:space="preserve"> che influiscono sulle attività del settore pubblico?</w:t>
      </w:r>
    </w:p>
    <w:p w14:paraId="52168C00" w14:textId="77777777" w:rsidR="00A914B1" w:rsidRDefault="00985BD6">
      <w:pPr>
        <w:pStyle w:val="Normal1"/>
        <w:spacing w:after="60" w:line="262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pr</w:t>
      </w:r>
      <w:r>
        <w:rPr>
          <w:rFonts w:ascii="Calibri" w:eastAsia="Calibri" w:hAnsi="Calibri" w:cs="Calibri"/>
        </w:rPr>
        <w:t>ogetto Big Policy Canvas</w:t>
      </w:r>
      <w:r>
        <w:rPr>
          <w:rFonts w:ascii="Calibri" w:eastAsia="Calibri" w:hAnsi="Calibri" w:cs="Calibri"/>
          <w:lang w:val="es-ES_tradnl"/>
        </w:rPr>
        <w:t xml:space="preserve"> celebrerà il suo evento finale condividendo con tutte le parti interessate il suo punto di vista su queste domande e presentando la BPC Roadmap </w:t>
      </w:r>
      <w:r>
        <w:rPr>
          <w:rFonts w:ascii="Calibri" w:eastAsia="Calibri" w:hAnsi="Calibri" w:cs="Calibri"/>
        </w:rPr>
        <w:t xml:space="preserve">con le future direzioni di ricerca e raccomandazioni specifiche relative all'uso dei </w:t>
      </w:r>
      <w:r>
        <w:rPr>
          <w:rFonts w:ascii="Calibri" w:eastAsia="Calibri" w:hAnsi="Calibri" w:cs="Calibri"/>
          <w:lang w:val="es-ES_tradnl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>g data</w:t>
      </w:r>
      <w:r>
        <w:rPr>
          <w:rFonts w:ascii="Calibri" w:eastAsia="Calibri" w:hAnsi="Calibri" w:cs="Calibri"/>
          <w:lang w:val="es-ES_tradnl"/>
        </w:rPr>
        <w:t xml:space="preserve"> nell’</w:t>
      </w:r>
      <w:r>
        <w:rPr>
          <w:rFonts w:ascii="Calibri" w:eastAsia="Calibri" w:hAnsi="Calibri" w:cs="Calibri"/>
        </w:rPr>
        <w:t>elaborazione delle politiche</w:t>
      </w:r>
      <w:r>
        <w:rPr>
          <w:rFonts w:ascii="Calibri" w:eastAsia="Calibri" w:hAnsi="Calibri" w:cs="Calibri"/>
          <w:lang w:val="es-ES_tradnl"/>
        </w:rPr>
        <w:t>.</w:t>
      </w:r>
    </w:p>
    <w:p w14:paraId="4605CD84" w14:textId="77777777" w:rsidR="00A914B1" w:rsidRDefault="00A914B1">
      <w:pPr>
        <w:pStyle w:val="Normal1"/>
        <w:spacing w:after="60" w:line="262" w:lineRule="auto"/>
        <w:jc w:val="both"/>
        <w:rPr>
          <w:rFonts w:ascii="Calibri" w:eastAsia="Calibri" w:hAnsi="Calibri" w:cs="Calibri"/>
        </w:rPr>
      </w:pPr>
    </w:p>
    <w:p w14:paraId="67AA21E9" w14:textId="77777777" w:rsidR="00A914B1" w:rsidRDefault="00985BD6">
      <w:pPr>
        <w:pStyle w:val="Body"/>
        <w:jc w:val="both"/>
        <w:rPr>
          <w:b/>
          <w:bCs/>
        </w:rPr>
      </w:pPr>
      <w:r>
        <w:rPr>
          <w:b/>
          <w:bCs/>
        </w:rPr>
        <w:t xml:space="preserve">Dettagli sull’Evento Finale </w:t>
      </w:r>
    </w:p>
    <w:p w14:paraId="04E3C323" w14:textId="77777777" w:rsidR="00A914B1" w:rsidRDefault="00985BD6">
      <w:pPr>
        <w:pStyle w:val="Body"/>
        <w:jc w:val="both"/>
      </w:pPr>
      <w:r>
        <w:rPr>
          <w:lang w:val="it-IT"/>
        </w:rPr>
        <w:t>L'evento inizier</w:t>
      </w:r>
      <w:r>
        <w:rPr>
          <w:lang w:val="fr-FR"/>
        </w:rPr>
        <w:t xml:space="preserve">à </w:t>
      </w:r>
      <w:r>
        <w:rPr>
          <w:lang w:val="it-IT"/>
        </w:rPr>
        <w:t>con una presentazione dei risultati del progetto e la loro contestualizzazione nell</w:t>
      </w:r>
      <w:r>
        <w:t>’</w:t>
      </w:r>
      <w:r>
        <w:rPr>
          <w:lang w:val="it-IT"/>
        </w:rPr>
        <w:t>area di creazione di politiche basate su elementi concreti. Successivamente seguir</w:t>
      </w:r>
      <w:r>
        <w:rPr>
          <w:lang w:val="fr-FR"/>
        </w:rPr>
        <w:t xml:space="preserve">à </w:t>
      </w:r>
      <w:r>
        <w:rPr>
          <w:lang w:val="it-IT"/>
        </w:rPr>
        <w:t>una sessione altamente interattiva con la BPC Roadmap per future direzioni e raccomandazioni di ricerca che sar</w:t>
      </w:r>
      <w:r>
        <w:rPr>
          <w:lang w:val="fr-FR"/>
        </w:rPr>
        <w:t xml:space="preserve">à </w:t>
      </w:r>
      <w:r>
        <w:rPr>
          <w:lang w:val="it-IT"/>
        </w:rPr>
        <w:t>il fulcro della discussione.</w:t>
      </w:r>
      <w:r>
        <w:t xml:space="preserve"> Si prevede che parteciperanno e contribuiranno all’evento rappresentanti delle autorità </w:t>
      </w:r>
      <w:r>
        <w:lastRenderedPageBreak/>
        <w:t>pubbliche, organizzazion</w:t>
      </w:r>
      <w:r>
        <w:t>i della società civile, organizzazioni di ricerca su ICT, fornitori di big data e imprese.</w:t>
      </w:r>
    </w:p>
    <w:p w14:paraId="30C1C0E0" w14:textId="77777777" w:rsidR="00A914B1" w:rsidRDefault="00985BD6">
      <w:pPr>
        <w:pStyle w:val="Body"/>
        <w:jc w:val="both"/>
      </w:pPr>
      <w:r>
        <w:t>L’evento finale di BPC si terrà venerdì 14 giugno alle ore 11.00 CEST alla Conferenza “Major Cities of Europe”, a Venezia (Italia). I partecipanti al nostro workshop</w:t>
      </w:r>
      <w:r>
        <w:t xml:space="preserve"> godranno di un prezzo speciale per l</w:t>
      </w:r>
      <w:r>
        <w:rPr>
          <w:lang w:val="es-ES_tradnl"/>
        </w:rPr>
        <w:t>a</w:t>
      </w:r>
      <w:r>
        <w:t xml:space="preserve"> conferenza.</w:t>
      </w:r>
    </w:p>
    <w:p w14:paraId="14111CD5" w14:textId="77777777" w:rsidR="00A914B1" w:rsidRDefault="00985BD6">
      <w:pPr>
        <w:pStyle w:val="Body"/>
        <w:jc w:val="both"/>
      </w:pPr>
      <w:r>
        <w:t xml:space="preserve">Contattaci: </w:t>
      </w:r>
      <w:hyperlink r:id="rId9" w:history="1">
        <w:r>
          <w:rPr>
            <w:rStyle w:val="Hyperlink0"/>
          </w:rPr>
          <w:t>https://www.bigpolicycanvas.eu/contact</w:t>
        </w:r>
      </w:hyperlink>
    </w:p>
    <w:p w14:paraId="6F8BC77B" w14:textId="77777777" w:rsidR="00A914B1" w:rsidRDefault="00985BD6">
      <w:pPr>
        <w:pStyle w:val="Body"/>
        <w:jc w:val="both"/>
      </w:pPr>
      <w:r>
        <w:rPr>
          <w:b/>
          <w:bCs/>
        </w:rPr>
        <w:t xml:space="preserve">Unisciti a noi e diventa parte del futuro! </w:t>
      </w:r>
    </w:p>
    <w:sectPr w:rsidR="00A914B1">
      <w:headerReference w:type="default" r:id="rId10"/>
      <w:footerReference w:type="default" r:id="rId11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DB2BE" w14:textId="77777777" w:rsidR="00985BD6" w:rsidRDefault="00985BD6">
      <w:r>
        <w:separator/>
      </w:r>
    </w:p>
  </w:endnote>
  <w:endnote w:type="continuationSeparator" w:id="0">
    <w:p w14:paraId="79C24925" w14:textId="77777777" w:rsidR="00985BD6" w:rsidRDefault="0098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tling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87FA4" w14:textId="77777777" w:rsidR="00A914B1" w:rsidRDefault="00A914B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EAAC4" w14:textId="77777777" w:rsidR="00985BD6" w:rsidRDefault="00985BD6">
      <w:r>
        <w:separator/>
      </w:r>
    </w:p>
  </w:footnote>
  <w:footnote w:type="continuationSeparator" w:id="0">
    <w:p w14:paraId="5773D768" w14:textId="77777777" w:rsidR="00985BD6" w:rsidRDefault="00985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08F9D" w14:textId="77777777" w:rsidR="00A914B1" w:rsidRDefault="00A914B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41C88"/>
    <w:multiLevelType w:val="hybridMultilevel"/>
    <w:tmpl w:val="A7ECB2DE"/>
    <w:numStyleLink w:val="ImportedStyle1"/>
  </w:abstractNum>
  <w:abstractNum w:abstractNumId="1" w15:restartNumberingAfterBreak="0">
    <w:nsid w:val="58575B1E"/>
    <w:multiLevelType w:val="hybridMultilevel"/>
    <w:tmpl w:val="A7ECB2DE"/>
    <w:styleLink w:val="ImportedStyle1"/>
    <w:lvl w:ilvl="0" w:tplc="8048E5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78198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FE361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42EA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0ED63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7683D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66E8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104C1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F4990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4B1"/>
    <w:rsid w:val="00101069"/>
    <w:rsid w:val="00985BD6"/>
    <w:rsid w:val="00A9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DA67600"/>
  <w15:docId w15:val="{913C5657-6C24-D441-A740-A0BCFA75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Normal1">
    <w:name w:val="Normal1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olor w:val="0563C1"/>
      <w:u w:val="single" w:color="0563C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igpolicycanvas.eu/contact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2019-05-28T20:47:00Z</dcterms:created>
  <dcterms:modified xsi:type="dcterms:W3CDTF">2019-05-28T20:47:00Z</dcterms:modified>
</cp:coreProperties>
</file>